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198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1125"/>
        <w:gridCol w:w="6802"/>
        <w:gridCol w:w="1650"/>
        <w:gridCol w:w="1398"/>
        <w:gridCol w:w="1398"/>
      </w:tblGrid>
      <w:tr w:rsidR="00590D78">
        <w:tc>
          <w:tcPr>
            <w:tcW w:w="825" w:type="dxa"/>
          </w:tcPr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125" w:type="dxa"/>
          </w:tcPr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6802" w:type="dxa"/>
          </w:tcPr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参数</w:t>
            </w:r>
          </w:p>
        </w:tc>
        <w:tc>
          <w:tcPr>
            <w:tcW w:w="1650" w:type="dxa"/>
          </w:tcPr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参考图片</w:t>
            </w:r>
          </w:p>
        </w:tc>
        <w:tc>
          <w:tcPr>
            <w:tcW w:w="1398" w:type="dxa"/>
          </w:tcPr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398" w:type="dxa"/>
          </w:tcPr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灭火防护服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、符合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XF 10-2014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《消防员灭火防护服》标准；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提供国家级检验中心出具的产品检测报告或具有</w:t>
            </w:r>
            <w:r>
              <w:rPr>
                <w:rFonts w:ascii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hAnsi="宋体" w:cs="宋体" w:hint="eastAsia"/>
                <w:sz w:val="24"/>
                <w:szCs w:val="24"/>
              </w:rPr>
              <w:t>资质认证的第三方检测机构出具的产品检测报告。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整体热防护性能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TPP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cal/cm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²）≥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质量≤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1.79kg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、外层面料性能要求：阻燃性能：经向损毁强度≤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45mm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，纬向损毁长度≤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46mm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，续燃时间≤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断裂强力：经向≥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980N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，纬向≥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850N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撕破强力：经向≥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120N,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纬向≥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；接缝断裂强力：经向≥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830N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，纬向≥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660N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色牢度：耐洗沾色≥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级，耐水摩擦≥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级，光色牢度≥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级；缩水率：经、纬向≤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1.0%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、隔热层性能要求：阻燃性能：经向损毁长度≤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，纬向损毁长度≤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38mm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，续燃时间≤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；缩水率：经、纬向≤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1.1%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、舒适层性能要求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阻燃性能：经、纬向损毁长度≤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47mm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，续燃时间≤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缩水率：经、纬向≤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；断裂强力：经向≥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402N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，纬向≥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370N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1246505</wp:posOffset>
                  </wp:positionV>
                  <wp:extent cx="1111250" cy="683260"/>
                  <wp:effectExtent l="19050" t="0" r="0" b="0"/>
                  <wp:wrapTight wrapText="bothSides">
                    <wp:wrapPolygon edited="0">
                      <wp:start x="-370" y="0"/>
                      <wp:lineTo x="-370" y="21078"/>
                      <wp:lineTo x="21477" y="21078"/>
                      <wp:lineTo x="21477" y="0"/>
                      <wp:lineTo x="-370" y="0"/>
                    </wp:wrapPolygon>
                  </wp:wrapTight>
                  <wp:docPr id="1" name="图片 3" descr="图片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图片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359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件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40mm</w:t>
            </w:r>
            <w:r>
              <w:rPr>
                <w:rFonts w:ascii="宋体" w:hAnsi="宋体" w:cs="宋体" w:hint="eastAsia"/>
                <w:sz w:val="24"/>
                <w:szCs w:val="24"/>
              </w:rPr>
              <w:t>消防水带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、符合《消防水带》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GB6246-2011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的要求；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提供国家级检验中心出具的产品检测报告或具有</w:t>
            </w:r>
            <w:r>
              <w:rPr>
                <w:rFonts w:ascii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hAnsi="宋体" w:cs="宋体" w:hint="eastAsia"/>
                <w:sz w:val="24"/>
                <w:szCs w:val="24"/>
              </w:rPr>
              <w:t>资质认证的第三方检测机构出具的产品检测报告。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、外层材质采用高强度涤纶长丝线，内衬聚氨酯材料；设计工作压力≥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1.6MPa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；水带两头均配有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口径的快速接口，水带和接口捆绑处有水带护套。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、爆破压力≥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6.0 </w:t>
            </w: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MPa</w:t>
            </w:r>
            <w:proofErr w:type="spell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，单位长度重量≤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190g/m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，水带编织层与衬里之间的附着强度≥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30N/25mm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，延伸率≤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，膨胀率≤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，扯断伸长率≥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350%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，扯断强度≥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40MPa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、水带口径为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，长度≥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575310</wp:posOffset>
                  </wp:positionV>
                  <wp:extent cx="855980" cy="758190"/>
                  <wp:effectExtent l="0" t="0" r="1270" b="3810"/>
                  <wp:wrapTight wrapText="bothSides">
                    <wp:wrapPolygon edited="0">
                      <wp:start x="0" y="0"/>
                      <wp:lineTo x="0" y="21166"/>
                      <wp:lineTo x="21151" y="21166"/>
                      <wp:lineTo x="21151" y="0"/>
                      <wp:lineTo x="0" y="0"/>
                    </wp:wrapPolygon>
                  </wp:wrapTight>
                  <wp:docPr id="2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388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盘</w:t>
            </w:r>
          </w:p>
        </w:tc>
      </w:tr>
      <w:tr w:rsidR="00590D78">
        <w:trPr>
          <w:trHeight w:val="1205"/>
        </w:trPr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消火栓转换接口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符合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GB12514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《消防接口》标准要求；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、使用公称压力≥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2.5MPa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；型号：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卡转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母。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78105</wp:posOffset>
                  </wp:positionV>
                  <wp:extent cx="713740" cy="577850"/>
                  <wp:effectExtent l="0" t="0" r="10160" b="12700"/>
                  <wp:wrapTight wrapText="bothSides">
                    <wp:wrapPolygon edited="0">
                      <wp:start x="0" y="0"/>
                      <wp:lineTo x="0" y="20651"/>
                      <wp:lineTo x="20754" y="20651"/>
                      <wp:lineTo x="20754" y="0"/>
                      <wp:lineTo x="0" y="0"/>
                    </wp:wrapPolygon>
                  </wp:wrapTight>
                  <wp:docPr id="3" name="图片 9" descr="d47e158c5cc9237ce75e7f74f246ab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" descr="d47e158c5cc9237ce75e7f74f246ab9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330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40mm</w:t>
            </w:r>
            <w:r>
              <w:rPr>
                <w:rFonts w:ascii="宋体" w:hAnsi="宋体" w:cs="宋体" w:hint="eastAsia"/>
                <w:sz w:val="24"/>
                <w:szCs w:val="24"/>
              </w:rPr>
              <w:t>消防水枪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、符合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GB8181-2005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《消防水枪》标准；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提供国家级检验中心出具的产品检测报告或具有</w:t>
            </w:r>
            <w:r>
              <w:rPr>
                <w:rFonts w:ascii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hAnsi="宋体" w:cs="宋体" w:hint="eastAsia"/>
                <w:sz w:val="24"/>
                <w:szCs w:val="24"/>
              </w:rPr>
              <w:t>资质认证的第三方检测机构出具的产品检测报告。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、射水方式：直流、开花；</w:t>
            </w:r>
          </w:p>
          <w:p w:rsidR="00590D78" w:rsidRDefault="001B511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、通过旋转枪头实行直流和喷雾形式的转换，接口公称直径：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590D78" w:rsidRDefault="001B511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、直流流量≥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6L/s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，最大喷雾角时的流量≥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9L/s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。直流射程≥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32m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175260</wp:posOffset>
                  </wp:positionV>
                  <wp:extent cx="405765" cy="544195"/>
                  <wp:effectExtent l="0" t="0" r="8255" b="13335"/>
                  <wp:wrapNone/>
                  <wp:docPr id="4" name="图片 10" descr="296e04508b8c09322d01df766aea522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296e04508b8c09322d01df766aea5221(1)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0576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330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把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便携式新能源灭火设备（手提式）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、气瓶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工作容积≥</w:t>
            </w:r>
            <w:r>
              <w:rPr>
                <w:rFonts w:ascii="宋体" w:hAnsi="宋体" w:cs="宋体" w:hint="eastAsia"/>
                <w:sz w:val="24"/>
                <w:szCs w:val="24"/>
              </w:rPr>
              <w:t>2L,</w:t>
            </w:r>
            <w:r>
              <w:rPr>
                <w:rFonts w:ascii="宋体" w:hAnsi="宋体" w:cs="宋体" w:hint="eastAsia"/>
                <w:sz w:val="24"/>
                <w:szCs w:val="24"/>
              </w:rPr>
              <w:t>额定工作压力≥</w:t>
            </w:r>
            <w:r>
              <w:rPr>
                <w:rFonts w:ascii="宋体" w:hAnsi="宋体" w:cs="宋体" w:hint="eastAsia"/>
                <w:sz w:val="24"/>
                <w:szCs w:val="24"/>
              </w:rPr>
              <w:t>28MPa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减压器：输出压力范围≥</w:t>
            </w:r>
            <w:r>
              <w:rPr>
                <w:rFonts w:ascii="宋体" w:hAnsi="宋体" w:cs="宋体" w:hint="eastAsia"/>
                <w:sz w:val="24"/>
                <w:szCs w:val="24"/>
              </w:rPr>
              <w:t>2-30MPa</w:t>
            </w:r>
            <w:r>
              <w:rPr>
                <w:rFonts w:ascii="宋体" w:hAnsi="宋体" w:cs="宋体" w:hint="eastAsia"/>
                <w:sz w:val="24"/>
                <w:szCs w:val="24"/>
              </w:rPr>
              <w:t>，输出压力≥</w:t>
            </w:r>
            <w:r>
              <w:rPr>
                <w:rFonts w:ascii="宋体" w:hAnsi="宋体" w:cs="宋体" w:hint="eastAsia"/>
                <w:sz w:val="24"/>
                <w:szCs w:val="24"/>
              </w:rPr>
              <w:t>0.6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 w:hint="eastAsia"/>
                <w:sz w:val="24"/>
                <w:szCs w:val="24"/>
              </w:rPr>
              <w:t>0.4MPa</w:t>
            </w:r>
            <w:r>
              <w:rPr>
                <w:rFonts w:ascii="宋体" w:hAnsi="宋体" w:cs="宋体" w:hint="eastAsia"/>
                <w:sz w:val="24"/>
                <w:szCs w:val="24"/>
              </w:rPr>
              <w:t>。安全阀开启、关闭压力≥</w:t>
            </w:r>
            <w:r>
              <w:rPr>
                <w:rFonts w:ascii="宋体" w:hAnsi="宋体" w:cs="宋体" w:hint="eastAsia"/>
                <w:sz w:val="24"/>
                <w:szCs w:val="24"/>
              </w:rPr>
              <w:t>1.3MPa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、喷射距离≥</w:t>
            </w:r>
            <w:r>
              <w:rPr>
                <w:rFonts w:ascii="宋体" w:hAnsi="宋体" w:cs="宋体" w:hint="eastAsia"/>
                <w:sz w:val="24"/>
                <w:szCs w:val="24"/>
              </w:rPr>
              <w:t>10m</w:t>
            </w:r>
            <w:r>
              <w:rPr>
                <w:rFonts w:ascii="宋体" w:hAnsi="宋体" w:cs="宋体" w:hint="eastAsia"/>
                <w:sz w:val="24"/>
                <w:szCs w:val="24"/>
              </w:rPr>
              <w:t>，有效喷射时间≥</w:t>
            </w:r>
            <w:r>
              <w:rPr>
                <w:rFonts w:ascii="宋体" w:hAnsi="宋体" w:cs="宋体" w:hint="eastAsia"/>
                <w:sz w:val="24"/>
                <w:szCs w:val="24"/>
              </w:rPr>
              <w:t>50s</w:t>
            </w:r>
            <w:r>
              <w:rPr>
                <w:rFonts w:ascii="宋体" w:hAnsi="宋体" w:cs="宋体" w:hint="eastAsia"/>
                <w:sz w:val="24"/>
                <w:szCs w:val="24"/>
              </w:rPr>
              <w:t>，喷射剩余率≤</w:t>
            </w:r>
            <w:r>
              <w:rPr>
                <w:rFonts w:ascii="宋体" w:hAnsi="宋体" w:cs="宋体" w:hint="eastAsia"/>
                <w:sz w:val="24"/>
                <w:szCs w:val="24"/>
              </w:rPr>
              <w:t>2%</w:t>
            </w:r>
            <w:r>
              <w:rPr>
                <w:rFonts w:ascii="宋体" w:hAnsi="宋体" w:cs="宋体" w:hint="eastAsia"/>
                <w:sz w:val="24"/>
                <w:szCs w:val="24"/>
              </w:rPr>
              <w:t>，发泡倍数≥</w:t>
            </w:r>
            <w:r>
              <w:rPr>
                <w:rFonts w:ascii="宋体" w:hAnsi="宋体" w:cs="宋体" w:hint="eastAsia"/>
                <w:sz w:val="24"/>
                <w:szCs w:val="24"/>
              </w:rPr>
              <w:t>6.5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灭</w:t>
            </w:r>
            <w:r>
              <w:rPr>
                <w:rFonts w:ascii="宋体" w:hAnsi="宋体" w:cs="宋体" w:hint="eastAsia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sz w:val="24"/>
                <w:szCs w:val="24"/>
              </w:rPr>
              <w:t>类火性能≥</w:t>
            </w:r>
            <w:r>
              <w:rPr>
                <w:rFonts w:ascii="宋体" w:hAnsi="宋体" w:cs="宋体" w:hint="eastAsia"/>
                <w:sz w:val="24"/>
                <w:szCs w:val="24"/>
              </w:rPr>
              <w:t>3A</w:t>
            </w:r>
            <w:r>
              <w:rPr>
                <w:rFonts w:ascii="宋体" w:hAnsi="宋体" w:cs="宋体" w:hint="eastAsia"/>
                <w:sz w:val="24"/>
                <w:szCs w:val="24"/>
              </w:rPr>
              <w:t>，灭</w:t>
            </w:r>
            <w:r>
              <w:rPr>
                <w:rFonts w:ascii="宋体" w:hAnsi="宋体" w:cs="宋体" w:hint="eastAsia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sz w:val="24"/>
                <w:szCs w:val="24"/>
              </w:rPr>
              <w:t>类火性能≥</w:t>
            </w:r>
            <w:r>
              <w:rPr>
                <w:rFonts w:ascii="宋体" w:hAnsi="宋体" w:cs="宋体" w:hint="eastAsia"/>
                <w:sz w:val="24"/>
                <w:szCs w:val="24"/>
              </w:rPr>
              <w:t>144B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管路密封性能：灭火装置各管路组件以</w:t>
            </w:r>
            <w:r>
              <w:rPr>
                <w:rFonts w:ascii="宋体" w:hAnsi="宋体" w:cs="宋体" w:hint="eastAsia"/>
                <w:sz w:val="24"/>
                <w:szCs w:val="24"/>
              </w:rPr>
              <w:t>1.1</w:t>
            </w:r>
            <w:r>
              <w:rPr>
                <w:rFonts w:ascii="宋体" w:hAnsi="宋体" w:cs="宋体" w:hint="eastAsia"/>
                <w:sz w:val="24"/>
                <w:szCs w:val="24"/>
              </w:rPr>
              <w:t>倍的工作压力持续作用</w:t>
            </w:r>
            <w:r>
              <w:rPr>
                <w:rFonts w:ascii="宋体" w:hAnsi="宋体" w:cs="宋体" w:hint="eastAsia"/>
                <w:sz w:val="24"/>
                <w:szCs w:val="24"/>
              </w:rPr>
              <w:t>5min</w:t>
            </w:r>
            <w:r>
              <w:rPr>
                <w:rFonts w:ascii="宋体" w:hAnsi="宋体" w:cs="宋体" w:hint="eastAsia"/>
                <w:sz w:val="24"/>
                <w:szCs w:val="24"/>
              </w:rPr>
              <w:t>，在各连接处未出现渗漏现象。</w:t>
            </w:r>
          </w:p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管路强度性能：灭火装置内各管路组件以</w:t>
            </w: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倍的工作压力持续作用</w:t>
            </w:r>
            <w:r>
              <w:rPr>
                <w:rFonts w:ascii="宋体" w:hAnsi="宋体" w:cs="宋体" w:hint="eastAsia"/>
                <w:sz w:val="24"/>
                <w:szCs w:val="24"/>
              </w:rPr>
              <w:t>5min</w:t>
            </w:r>
            <w:r>
              <w:rPr>
                <w:rFonts w:ascii="宋体" w:hAnsi="宋体" w:cs="宋体" w:hint="eastAsia"/>
                <w:sz w:val="24"/>
                <w:szCs w:val="24"/>
              </w:rPr>
              <w:t>，无裂纹及永久变形。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提供相关证明文件资料或厂家彩页图片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907415" cy="1200150"/>
                  <wp:effectExtent l="0" t="0" r="6985" b="0"/>
                  <wp:docPr id="5" name="图片 37" descr="ce2f1fb35f9520d572f2ed80ebda4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7" descr="ce2f1fb35f9520d572f2ed80ebda473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</w:tc>
      </w:tr>
      <w:tr w:rsidR="00590D78">
        <w:trPr>
          <w:trHeight w:val="1518"/>
        </w:trPr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灭火毯（电动汽车专用）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产品材质：玻璃纤维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硅胶涂层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、耐火温度≥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断裂强力（经向、纬向）≥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、重量≤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35 kg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；尺寸≥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6m*9m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；厚度≥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217805</wp:posOffset>
                  </wp:positionV>
                  <wp:extent cx="775335" cy="710565"/>
                  <wp:effectExtent l="0" t="0" r="5715" b="13335"/>
                  <wp:wrapTight wrapText="bothSides">
                    <wp:wrapPolygon edited="0">
                      <wp:start x="0" y="0"/>
                      <wp:lineTo x="0" y="20847"/>
                      <wp:lineTo x="21229" y="20847"/>
                      <wp:lineTo x="21229" y="0"/>
                      <wp:lineTo x="0" y="0"/>
                    </wp:wrapPolygon>
                  </wp:wrapTight>
                  <wp:docPr id="6" name="图片 17" descr="图片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7" descr="图片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4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165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</w:t>
            </w:r>
          </w:p>
        </w:tc>
      </w:tr>
      <w:tr w:rsidR="00590D78">
        <w:trPr>
          <w:trHeight w:val="1332"/>
        </w:trPr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灭火毯（电动自行车用）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、产品材质：玻璃纤维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硅胶涂层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、耐火温度≥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断裂强力（经向、纬向）≥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400N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、重量≤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 kg(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不含包装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；尺寸≥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4m*5m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；厚度≥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166370</wp:posOffset>
                  </wp:positionV>
                  <wp:extent cx="808990" cy="741045"/>
                  <wp:effectExtent l="0" t="0" r="10160" b="1905"/>
                  <wp:wrapTight wrapText="bothSides">
                    <wp:wrapPolygon edited="0">
                      <wp:start x="0" y="0"/>
                      <wp:lineTo x="0" y="21100"/>
                      <wp:lineTo x="20854" y="21100"/>
                      <wp:lineTo x="20854" y="0"/>
                      <wp:lineTo x="0" y="0"/>
                    </wp:wrapPolygon>
                  </wp:wrapTight>
                  <wp:docPr id="7" name="图片 17" descr="图片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7" descr="图片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89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165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</w:t>
            </w:r>
          </w:p>
        </w:tc>
      </w:tr>
      <w:tr w:rsidR="00590D78">
        <w:trPr>
          <w:trHeight w:val="2764"/>
        </w:trPr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化学氧自救呼吸器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、符合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XF/GA 411-2003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《化学氧消防自救呼吸器》标准要求；</w:t>
            </w:r>
            <w:r>
              <w:rPr>
                <w:rFonts w:ascii="宋体" w:hAnsi="宋体" w:cs="宋体" w:hint="eastAsia"/>
                <w:sz w:val="24"/>
                <w:szCs w:val="24"/>
              </w:rPr>
              <w:t>提供国家级检验中心出具的产品检测报告或具有</w:t>
            </w:r>
            <w:r>
              <w:rPr>
                <w:rFonts w:ascii="宋体" w:hAnsi="宋体" w:cs="宋体" w:hint="eastAsia"/>
                <w:sz w:val="24"/>
                <w:szCs w:val="24"/>
              </w:rPr>
              <w:t>相关</w:t>
            </w:r>
            <w:r>
              <w:rPr>
                <w:rFonts w:ascii="宋体" w:hAnsi="宋体" w:cs="宋体" w:hint="eastAsia"/>
                <w:sz w:val="24"/>
                <w:szCs w:val="24"/>
              </w:rPr>
              <w:t>资质认证的第三方检测机构出具的产品检测报告。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、额定防护时间≥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30min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；佩戴质量≤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1085g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；防护头罩材料抗辐射热渗透性能内表面升温≤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10.5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℃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、硅胶半面罩，加厚反光头罩；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贮气袋容积≥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6L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；防护性能二氧化碳浓度平均值：≤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1.5%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；防护性能氧气浓度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2min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内：≥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367665</wp:posOffset>
                  </wp:positionV>
                  <wp:extent cx="852805" cy="721360"/>
                  <wp:effectExtent l="0" t="0" r="4445" b="2540"/>
                  <wp:wrapTight wrapText="bothSides">
                    <wp:wrapPolygon edited="0">
                      <wp:start x="0" y="0"/>
                      <wp:lineTo x="0" y="21106"/>
                      <wp:lineTo x="21230" y="21106"/>
                      <wp:lineTo x="21230" y="0"/>
                      <wp:lineTo x="0" y="0"/>
                    </wp:wrapPolygon>
                  </wp:wrapTight>
                  <wp:docPr id="8" name="图片 19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9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359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室外消火栓扳手</w:t>
            </w:r>
          </w:p>
        </w:tc>
        <w:tc>
          <w:tcPr>
            <w:tcW w:w="6802" w:type="dxa"/>
          </w:tcPr>
          <w:p w:rsidR="00590D78" w:rsidRDefault="00590D7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、加厚锻钢板体铸造；大口径，内角设计，开启和关闭消火栓；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、开口≥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5.5CM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；长度≥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37CM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  <w:p w:rsidR="00590D78" w:rsidRDefault="00590D7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117475</wp:posOffset>
                  </wp:positionV>
                  <wp:extent cx="836295" cy="474345"/>
                  <wp:effectExtent l="0" t="0" r="1905" b="1905"/>
                  <wp:wrapTight wrapText="bothSides">
                    <wp:wrapPolygon edited="0">
                      <wp:start x="0" y="0"/>
                      <wp:lineTo x="0" y="20819"/>
                      <wp:lineTo x="21157" y="20819"/>
                      <wp:lineTo x="21157" y="0"/>
                      <wp:lineTo x="0" y="0"/>
                    </wp:wrapPolygon>
                  </wp:wrapTight>
                  <wp:docPr id="9" name="图片 24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4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187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伸缩捞钩</w:t>
            </w:r>
          </w:p>
        </w:tc>
        <w:tc>
          <w:tcPr>
            <w:tcW w:w="6802" w:type="dxa"/>
          </w:tcPr>
          <w:p w:rsidR="00590D78" w:rsidRDefault="00590D7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、伸缩捞钩是一种可调节长度、带钩头的便携捞取工具，适配打捞、清障、应急等多场景；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、铝合金杆体；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316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不锈钢钩头；长度≥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；节数≥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207010</wp:posOffset>
                  </wp:positionV>
                  <wp:extent cx="976630" cy="848360"/>
                  <wp:effectExtent l="0" t="0" r="13970" b="8890"/>
                  <wp:wrapTight wrapText="bothSides">
                    <wp:wrapPolygon edited="0">
                      <wp:start x="0" y="0"/>
                      <wp:lineTo x="0" y="21341"/>
                      <wp:lineTo x="21066" y="21341"/>
                      <wp:lineTo x="21066" y="0"/>
                      <wp:lineTo x="0" y="0"/>
                    </wp:wrapPolygon>
                  </wp:wrapTight>
                  <wp:docPr id="10" name="图片 25" descr="图片5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5" descr="图片5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194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移车器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结构组件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由伸缩横梁、摆臂、撬柄、万向脚轮、助力导向轮、地面保护轮、防滑支撑架、锁销等组成；每套数量：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配有万向脚轮可使汽车任意方向移动；只接触轮胎不接触汽车的车身、轮毂或底盘；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、单个规格（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650x550x440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（±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5%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）；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、单个净重约：≤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公斤；单个承载重量：≥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公斤（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个合计承载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公斤）；</w:t>
            </w:r>
          </w:p>
          <w:p w:rsidR="00590D78" w:rsidRDefault="00590D7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336550</wp:posOffset>
                  </wp:positionV>
                  <wp:extent cx="910590" cy="910590"/>
                  <wp:effectExtent l="0" t="0" r="3810" b="3810"/>
                  <wp:wrapTight wrapText="bothSides">
                    <wp:wrapPolygon edited="0">
                      <wp:start x="0" y="0"/>
                      <wp:lineTo x="0" y="21238"/>
                      <wp:lineTo x="21238" y="21238"/>
                      <wp:lineTo x="21238" y="0"/>
                      <wp:lineTo x="0" y="0"/>
                    </wp:wrapPolygon>
                  </wp:wrapTight>
                  <wp:docPr id="11" name="图片 35" descr="微信图片_202603181311431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5" descr="微信图片_2026031813114315_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91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</w:tr>
      <w:tr w:rsidR="00590D78">
        <w:tc>
          <w:tcPr>
            <w:tcW w:w="825" w:type="dxa"/>
          </w:tcPr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590D78" w:rsidRDefault="00590D7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590D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小型灭火携行包</w:t>
            </w:r>
          </w:p>
        </w:tc>
        <w:tc>
          <w:tcPr>
            <w:tcW w:w="6802" w:type="dxa"/>
          </w:tcPr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、携行包为可固定式设计，适配电动自行车安装布局，可一分为二，分别置于电动自行车两侧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适配民用建筑、小型场所及电动自行车相关初期火灾扑救，满足基础灭火作业需求；包体采用防刮、耐磨、不掉色材质，底部设有排水孔，便于排水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携行包表面印有“消防快速处置队”字样，字体均匀分布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。</w:t>
            </w:r>
          </w:p>
          <w:p w:rsidR="00590D78" w:rsidRDefault="001B511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、携行包整体自重（不带器材）≤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; </w:t>
            </w:r>
          </w:p>
          <w:p w:rsidR="00590D78" w:rsidRDefault="001B511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、可容纳空间：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米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水带、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多功能水枪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把、消火栓转换接口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个、消火栓扳手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把携行包内置器材收纳固定结构，确保携行及安装过程中部件无松动、无磕碰损坏；容积适中，尺寸采用：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35cm*25cm*40cm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，±≤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5cm;</w:t>
            </w:r>
          </w:p>
        </w:tc>
        <w:tc>
          <w:tcPr>
            <w:tcW w:w="1650" w:type="dxa"/>
          </w:tcPr>
          <w:p w:rsidR="00590D78" w:rsidRDefault="001B511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697865</wp:posOffset>
                  </wp:positionV>
                  <wp:extent cx="786130" cy="643890"/>
                  <wp:effectExtent l="0" t="0" r="13970" b="3810"/>
                  <wp:wrapTight wrapText="bothSides">
                    <wp:wrapPolygon edited="0">
                      <wp:start x="0" y="0"/>
                      <wp:lineTo x="0" y="21089"/>
                      <wp:lineTo x="20937" y="21089"/>
                      <wp:lineTo x="20937" y="0"/>
                      <wp:lineTo x="0" y="0"/>
                    </wp:wrapPolygon>
                  </wp:wrapTight>
                  <wp:docPr id="12" name="图片 27" descr="图片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7" descr="图片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165</w:t>
            </w:r>
          </w:p>
        </w:tc>
        <w:tc>
          <w:tcPr>
            <w:tcW w:w="1398" w:type="dxa"/>
          </w:tcPr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1B5115" w:rsidRDefault="001B511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0D78" w:rsidRDefault="001B5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bookmarkStart w:id="0" w:name="_GoBack"/>
            <w:bookmarkEnd w:id="0"/>
          </w:p>
        </w:tc>
      </w:tr>
    </w:tbl>
    <w:p w:rsidR="00590D78" w:rsidRDefault="00590D78"/>
    <w:sectPr w:rsidR="00590D78" w:rsidSect="00590D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115" w:rsidRDefault="001B5115" w:rsidP="001B5115">
      <w:r>
        <w:separator/>
      </w:r>
    </w:p>
  </w:endnote>
  <w:endnote w:type="continuationSeparator" w:id="0">
    <w:p w:rsidR="001B5115" w:rsidRDefault="001B5115" w:rsidP="001B5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115" w:rsidRDefault="001B5115" w:rsidP="001B5115">
      <w:r>
        <w:separator/>
      </w:r>
    </w:p>
  </w:footnote>
  <w:footnote w:type="continuationSeparator" w:id="0">
    <w:p w:rsidR="001B5115" w:rsidRDefault="001B5115" w:rsidP="001B5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D78"/>
    <w:rsid w:val="001B5115"/>
    <w:rsid w:val="00590D78"/>
    <w:rsid w:val="022C3FCA"/>
    <w:rsid w:val="771A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D78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90D78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B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51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B5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511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1B5115"/>
    <w:rPr>
      <w:sz w:val="18"/>
      <w:szCs w:val="18"/>
    </w:rPr>
  </w:style>
  <w:style w:type="character" w:customStyle="1" w:styleId="Char1">
    <w:name w:val="批注框文本 Char"/>
    <w:basedOn w:val="a0"/>
    <w:link w:val="a6"/>
    <w:rsid w:val="001B51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1853</Words>
  <Characters>629</Characters>
  <Application>Microsoft Office Word</Application>
  <DocSecurity>0</DocSecurity>
  <Lines>5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张东升</dc:creator>
  <cp:lastModifiedBy>੄ꒈ૙춈૔ﶄҔ囐୏箈˩</cp:lastModifiedBy>
  <cp:revision>2</cp:revision>
  <dcterms:created xsi:type="dcterms:W3CDTF">2026-06-08T06:17:00Z</dcterms:created>
  <dcterms:modified xsi:type="dcterms:W3CDTF">2026-06-08T06:56:00Z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eyJoZGlkIjoiNWE1YjNmMWIzMzA1NzA3NWM1ZWU2M2E5MDc3OTNlMDMiLCJ1c2VySWQiOiI1Mzg1OTQwOTkifQ==</vt:lpwstr>
  </property>
  <property fmtid="{D5CDD505-2E9C-101B-9397-08002B2CF9AE}" pid="4" name="ICV">
    <vt:lpwstr>3E9AF5F0FB2F46B9B07F63C15B45EF0D_12</vt:lpwstr>
  </property>
</Properties>
</file>